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60" w:firstLineChars="200"/>
        <w:rPr>
          <w:rFonts w:hint="eastAsia" w:ascii="黑体" w:hAnsi="黑体" w:eastAsia="黑体" w:cs="黑体"/>
          <w:sz w:val="18"/>
          <w:szCs w:val="21"/>
        </w:rPr>
      </w:pPr>
      <w:r>
        <w:rPr>
          <w:rFonts w:hint="eastAsia" w:ascii="黑体" w:hAnsi="黑体" w:eastAsia="黑体" w:cs="黑体"/>
          <w:sz w:val="18"/>
          <w:szCs w:val="21"/>
        </w:rPr>
        <w:t>隆基绿能科技股份有限公司成立于2000年，聚焦光伏单晶科技，持续促进度电成本降低，倡导可持续发展，致力于推动能源转型进程。隆基聚焦科技创新，</w:t>
      </w:r>
      <w:r>
        <w:rPr>
          <w:rFonts w:hint="eastAsia" w:ascii="黑体" w:hAnsi="黑体" w:eastAsia="黑体" w:cs="黑体"/>
          <w:b/>
          <w:bCs/>
          <w:color w:val="FF0000"/>
          <w:sz w:val="18"/>
          <w:szCs w:val="21"/>
          <w:u w:val="none"/>
        </w:rPr>
        <w:t>构建单晶硅片、电池组件、分布式光伏解决方案、地面光伏解决方案、氢能装备五大业务板块</w:t>
      </w:r>
      <w:r>
        <w:rPr>
          <w:rFonts w:hint="eastAsia" w:ascii="黑体" w:hAnsi="黑体" w:eastAsia="黑体" w:cs="黑体"/>
          <w:sz w:val="18"/>
          <w:szCs w:val="21"/>
        </w:rPr>
        <w:t>，形成支撑全球零碳发展的“绿电”+“绿氢”产品和解决方案能力。在中国、越南、马来西亚等国家和地区布局多个生产制造基地，在美国、日本、德国、印度、澳大利亚、阿联酋、泰国等国家设立分支机构，业务遍及全球 150 余个国家和地区。</w:t>
      </w:r>
    </w:p>
    <w:p>
      <w:pPr>
        <w:rPr>
          <w:rFonts w:hint="eastAsia" w:ascii="黑体" w:hAnsi="黑体" w:eastAsia="黑体" w:cs="黑体"/>
          <w:sz w:val="18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12700</wp:posOffset>
            </wp:positionV>
            <wp:extent cx="5163820" cy="1746250"/>
            <wp:effectExtent l="0" t="0" r="2540" b="6350"/>
            <wp:wrapNone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黑体" w:hAnsi="黑体" w:eastAsia="黑体" w:cs="黑体"/>
          <w:sz w:val="18"/>
          <w:szCs w:val="21"/>
        </w:rPr>
      </w:pPr>
    </w:p>
    <w:p>
      <w:pPr>
        <w:rPr>
          <w:rFonts w:hint="eastAsia" w:ascii="黑体" w:hAnsi="黑体" w:eastAsia="黑体" w:cs="黑体"/>
          <w:sz w:val="18"/>
          <w:szCs w:val="21"/>
        </w:rPr>
      </w:pPr>
    </w:p>
    <w:p>
      <w:pPr>
        <w:rPr>
          <w:rFonts w:hint="eastAsia" w:ascii="黑体" w:hAnsi="黑体" w:eastAsia="黑体" w:cs="黑体"/>
          <w:sz w:val="18"/>
          <w:szCs w:val="21"/>
        </w:rPr>
      </w:pPr>
    </w:p>
    <w:p>
      <w:pPr>
        <w:rPr>
          <w:rFonts w:hint="eastAsia" w:ascii="黑体" w:hAnsi="黑体" w:eastAsia="黑体" w:cs="黑体"/>
          <w:sz w:val="18"/>
          <w:szCs w:val="21"/>
        </w:rPr>
      </w:pPr>
    </w:p>
    <w:p>
      <w:pPr>
        <w:rPr>
          <w:rFonts w:hint="eastAsia" w:ascii="黑体" w:hAnsi="黑体" w:eastAsia="黑体" w:cs="黑体"/>
          <w:sz w:val="18"/>
          <w:szCs w:val="21"/>
        </w:rPr>
      </w:pPr>
    </w:p>
    <w:p>
      <w:pPr>
        <w:rPr>
          <w:rFonts w:hint="eastAsia" w:ascii="黑体" w:hAnsi="黑体" w:eastAsia="黑体" w:cs="黑体"/>
          <w:sz w:val="18"/>
          <w:szCs w:val="21"/>
        </w:rPr>
      </w:pPr>
    </w:p>
    <w:p>
      <w:pPr>
        <w:rPr>
          <w:rFonts w:hint="eastAsia" w:ascii="黑体" w:hAnsi="黑体" w:eastAsia="黑体" w:cs="黑体"/>
          <w:sz w:val="18"/>
          <w:szCs w:val="21"/>
        </w:rPr>
      </w:pPr>
    </w:p>
    <w:p>
      <w:pPr>
        <w:rPr>
          <w:rFonts w:hint="eastAsia" w:ascii="黑体" w:hAnsi="黑体" w:eastAsia="黑体" w:cs="黑体"/>
          <w:sz w:val="18"/>
          <w:szCs w:val="21"/>
        </w:rPr>
      </w:pPr>
    </w:p>
    <w:p>
      <w:pPr>
        <w:rPr>
          <w:rFonts w:hint="eastAsia" w:ascii="黑体" w:hAnsi="黑体" w:eastAsia="黑体" w:cs="黑体"/>
          <w:sz w:val="18"/>
          <w:szCs w:val="21"/>
        </w:rPr>
      </w:pPr>
      <w:r>
        <w:rPr>
          <w:rFonts w:hint="eastAsia" w:ascii="黑体" w:hAnsi="黑体" w:eastAsia="黑体" w:cs="黑体"/>
          <w:sz w:val="18"/>
          <w:szCs w:val="21"/>
        </w:rPr>
        <w:t>2022年财报，隆基股份实现营业收入1289.98亿元，总资产1395.56亿元，归母净利润148.12亿元，单晶硅片出货量85.06GW，单晶组件出货量46.76GW，全球70000+员工，位居《财富》中国500强第168位，全球新能源企业500强第6位。</w:t>
      </w:r>
    </w:p>
    <w:tbl>
      <w:tblPr>
        <w:tblStyle w:val="6"/>
        <w:tblW w:w="11370" w:type="dxa"/>
        <w:tblInd w:w="-14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5910"/>
        <w:gridCol w:w="3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b/>
                <w:bCs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21"/>
                <w:vertAlign w:val="baseline"/>
                <w:lang w:val="en-US" w:eastAsia="zh-CN"/>
              </w:rPr>
              <w:t>岗位名称</w:t>
            </w:r>
          </w:p>
        </w:tc>
        <w:tc>
          <w:tcPr>
            <w:tcW w:w="59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b/>
                <w:bCs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21"/>
                <w:vertAlign w:val="baseline"/>
                <w:lang w:val="en-US" w:eastAsia="zh-CN"/>
              </w:rPr>
              <w:t>岗位职责</w:t>
            </w:r>
          </w:p>
        </w:tc>
        <w:tc>
          <w:tcPr>
            <w:tcW w:w="38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b/>
                <w:bCs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21"/>
                <w:vertAlign w:val="baseline"/>
                <w:lang w:val="en-US" w:eastAsia="zh-CN"/>
              </w:rPr>
              <w:t>岗位要求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黑体" w:hAnsi="黑体" w:eastAsia="黑体" w:cs="黑体"/>
                <w:b/>
                <w:bCs/>
                <w:sz w:val="18"/>
                <w:szCs w:val="21"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21"/>
              </w:rPr>
              <w:t>产线实习生</w:t>
            </w:r>
          </w:p>
        </w:tc>
        <w:tc>
          <w:tcPr>
            <w:tcW w:w="59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黑体" w:hAnsi="黑体" w:eastAsia="黑体" w:cs="黑体"/>
                <w:sz w:val="18"/>
                <w:szCs w:val="21"/>
                <w:vertAlign w:val="baseline"/>
              </w:rPr>
            </w:pPr>
            <w:r>
              <w:rPr>
                <w:rFonts w:hint="eastAsia" w:ascii="黑体" w:hAnsi="黑体" w:eastAsia="黑体" w:cs="黑体"/>
                <w:sz w:val="18"/>
                <w:szCs w:val="21"/>
              </w:rPr>
              <w:t>从事上料、裁切、层压、削边、清洗、质检、包装等方面的相关工作； 公司将依据个人表现提供班组长、技术员、工程师等晋升机会</w:t>
            </w:r>
          </w:p>
        </w:tc>
        <w:tc>
          <w:tcPr>
            <w:tcW w:w="3840" w:type="dxa"/>
            <w:vMerge w:val="restar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黑体" w:hAnsi="黑体" w:eastAsia="黑体" w:cs="黑体"/>
                <w:sz w:val="18"/>
                <w:szCs w:val="21"/>
              </w:rPr>
            </w:pPr>
            <w:r>
              <w:rPr>
                <w:rFonts w:hint="eastAsia" w:ascii="黑体" w:hAnsi="黑体" w:eastAsia="黑体" w:cs="黑体"/>
                <w:sz w:val="18"/>
                <w:szCs w:val="21"/>
                <w:lang w:val="en-US" w:eastAsia="zh-CN"/>
              </w:rPr>
              <w:t>1、</w:t>
            </w:r>
            <w:r>
              <w:rPr>
                <w:rFonts w:hint="eastAsia" w:ascii="黑体" w:hAnsi="黑体" w:eastAsia="黑体" w:cs="黑体"/>
                <w:sz w:val="18"/>
                <w:szCs w:val="21"/>
              </w:rPr>
              <w:t>大专及以上学历，机械、电气类、自动化类等</w:t>
            </w:r>
            <w:r>
              <w:rPr>
                <w:rFonts w:hint="eastAsia" w:ascii="黑体" w:hAnsi="黑体" w:eastAsia="黑体" w:cs="黑体"/>
                <w:sz w:val="18"/>
                <w:szCs w:val="21"/>
                <w:lang w:val="en-US" w:eastAsia="zh-CN"/>
              </w:rPr>
              <w:t>理工科</w:t>
            </w:r>
            <w:r>
              <w:rPr>
                <w:rFonts w:hint="eastAsia" w:ascii="黑体" w:hAnsi="黑体" w:eastAsia="黑体" w:cs="黑体"/>
                <w:sz w:val="18"/>
                <w:szCs w:val="21"/>
              </w:rPr>
              <w:t xml:space="preserve">专业；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黑体" w:hAnsi="黑体" w:eastAsia="黑体" w:cs="黑体"/>
                <w:sz w:val="18"/>
                <w:szCs w:val="21"/>
              </w:rPr>
            </w:pPr>
            <w:r>
              <w:rPr>
                <w:rFonts w:hint="eastAsia" w:ascii="黑体" w:hAnsi="黑体" w:eastAsia="黑体" w:cs="黑体"/>
                <w:sz w:val="18"/>
                <w:szCs w:val="21"/>
              </w:rPr>
              <w:t xml:space="preserve">2、熟练使用办公软件和办公自动化设备；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黑体" w:hAnsi="黑体" w:eastAsia="黑体" w:cs="黑体"/>
                <w:sz w:val="18"/>
                <w:szCs w:val="21"/>
              </w:rPr>
            </w:pPr>
            <w:r>
              <w:rPr>
                <w:rFonts w:hint="eastAsia" w:ascii="黑体" w:hAnsi="黑体" w:eastAsia="黑体" w:cs="黑体"/>
                <w:sz w:val="18"/>
                <w:szCs w:val="21"/>
              </w:rPr>
              <w:t xml:space="preserve">3、有机械制图或电气基础知识；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黑体" w:hAnsi="黑体" w:eastAsia="黑体" w:cs="黑体"/>
                <w:sz w:val="18"/>
                <w:szCs w:val="21"/>
              </w:rPr>
            </w:pPr>
            <w:r>
              <w:rPr>
                <w:rFonts w:hint="eastAsia" w:ascii="黑体" w:hAnsi="黑体" w:eastAsia="黑体" w:cs="黑体"/>
                <w:sz w:val="18"/>
                <w:szCs w:val="21"/>
                <w:lang w:val="en-US" w:eastAsia="zh-CN"/>
              </w:rPr>
              <w:t>4、</w:t>
            </w:r>
            <w:r>
              <w:rPr>
                <w:rFonts w:hint="eastAsia" w:ascii="黑体" w:hAnsi="黑体" w:eastAsia="黑体" w:cs="黑体"/>
                <w:sz w:val="18"/>
                <w:szCs w:val="21"/>
              </w:rPr>
              <w:t>善于沟通，思维活跃，具有良好的组织、协调能力和系统分析、判断、解决问题的能力，能够承受压力并出色完成工作。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黑体" w:hAnsi="黑体" w:eastAsia="黑体" w:cs="黑体"/>
                <w:sz w:val="18"/>
                <w:szCs w:val="21"/>
                <w:vertAlign w:val="baseline"/>
              </w:rPr>
            </w:pPr>
            <w:r>
              <w:rPr>
                <w:rFonts w:hint="eastAsia" w:ascii="黑体" w:hAnsi="黑体" w:eastAsia="黑体" w:cs="黑体"/>
                <w:sz w:val="18"/>
                <w:szCs w:val="21"/>
                <w:lang w:val="en-US" w:eastAsia="zh-CN"/>
              </w:rPr>
              <w:t>5、能接受</w:t>
            </w:r>
            <w:r>
              <w:rPr>
                <w:rFonts w:hint="eastAsia" w:ascii="黑体" w:hAnsi="黑体" w:eastAsia="黑体" w:cs="黑体"/>
                <w:sz w:val="18"/>
                <w:szCs w:val="21"/>
              </w:rPr>
              <w:t>两班制，每班8小时，双休日，周末及平时视生产任务而定安排加班。白班：8:30—17:30,中午/晚上 30 分钟用餐时间</w:t>
            </w:r>
            <w:r>
              <w:rPr>
                <w:rFonts w:hint="eastAsia" w:ascii="黑体" w:hAnsi="黑体" w:eastAsia="黑体" w:cs="黑体"/>
                <w:sz w:val="18"/>
                <w:szCs w:val="21"/>
                <w:lang w:eastAsia="zh-CN"/>
              </w:rPr>
              <w:t>；</w:t>
            </w:r>
            <w:r>
              <w:rPr>
                <w:rFonts w:hint="eastAsia" w:ascii="黑体" w:hAnsi="黑体" w:eastAsia="黑体" w:cs="黑体"/>
                <w:sz w:val="18"/>
                <w:szCs w:val="21"/>
              </w:rPr>
              <w:t>晚班：20:30—5:30，夜间 30 分钟用餐时间.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黑体" w:hAnsi="黑体" w:eastAsia="黑体" w:cs="黑体"/>
                <w:b/>
                <w:bCs/>
                <w:sz w:val="18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21"/>
              </w:rPr>
              <w:t>设备助理工程师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黑体" w:hAnsi="黑体" w:eastAsia="黑体" w:cs="黑体"/>
                <w:b/>
                <w:bCs/>
                <w:sz w:val="18"/>
                <w:szCs w:val="21"/>
                <w:vertAlign w:val="baseline"/>
              </w:rPr>
            </w:pPr>
          </w:p>
        </w:tc>
        <w:tc>
          <w:tcPr>
            <w:tcW w:w="59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黑体" w:hAnsi="黑体" w:eastAsia="黑体" w:cs="黑体"/>
                <w:sz w:val="18"/>
                <w:szCs w:val="21"/>
              </w:rPr>
            </w:pPr>
            <w:r>
              <w:rPr>
                <w:rFonts w:hint="eastAsia" w:ascii="黑体" w:hAnsi="黑体" w:eastAsia="黑体" w:cs="黑体"/>
                <w:sz w:val="18"/>
                <w:szCs w:val="21"/>
                <w:lang w:val="en-US" w:eastAsia="zh-CN"/>
              </w:rPr>
              <w:t>1、</w:t>
            </w:r>
            <w:r>
              <w:rPr>
                <w:rFonts w:hint="eastAsia" w:ascii="黑体" w:hAnsi="黑体" w:eastAsia="黑体" w:cs="黑体"/>
                <w:sz w:val="18"/>
                <w:szCs w:val="21"/>
              </w:rPr>
              <w:t xml:space="preserve">责任区域生产设备点检、维修、巡视等工作，相关问题点及时反馈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黑体" w:hAnsi="黑体" w:eastAsia="黑体" w:cs="黑体"/>
                <w:sz w:val="18"/>
                <w:szCs w:val="21"/>
              </w:rPr>
            </w:pPr>
            <w:r>
              <w:rPr>
                <w:rFonts w:hint="eastAsia" w:ascii="黑体" w:hAnsi="黑体" w:eastAsia="黑体" w:cs="黑体"/>
                <w:sz w:val="18"/>
                <w:szCs w:val="21"/>
              </w:rPr>
              <w:t xml:space="preserve">2、按照PM保养计划表，执行生产设备预防保养工作；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黑体" w:hAnsi="黑体" w:eastAsia="黑体" w:cs="黑体"/>
                <w:sz w:val="18"/>
                <w:szCs w:val="21"/>
                <w:vertAlign w:val="baseline"/>
              </w:rPr>
            </w:pPr>
            <w:r>
              <w:rPr>
                <w:rFonts w:hint="eastAsia" w:ascii="黑体" w:hAnsi="黑体" w:eastAsia="黑体" w:cs="黑体"/>
                <w:sz w:val="18"/>
                <w:szCs w:val="21"/>
              </w:rPr>
              <w:t xml:space="preserve">3、协助上级领导进行备件、故障指标、品质指标、维修成本管理，推动产能提升； </w:t>
            </w:r>
          </w:p>
        </w:tc>
        <w:tc>
          <w:tcPr>
            <w:tcW w:w="3840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黑体" w:hAnsi="黑体" w:eastAsia="黑体" w:cs="黑体"/>
                <w:sz w:val="18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黑体" w:hAnsi="黑体" w:eastAsia="黑体" w:cs="黑体"/>
                <w:b/>
                <w:bCs/>
                <w:sz w:val="18"/>
                <w:szCs w:val="21"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21"/>
              </w:rPr>
              <w:t>工艺助理工程师</w:t>
            </w:r>
          </w:p>
        </w:tc>
        <w:tc>
          <w:tcPr>
            <w:tcW w:w="59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黑体" w:hAnsi="黑体" w:eastAsia="黑体" w:cs="黑体"/>
                <w:sz w:val="18"/>
                <w:szCs w:val="21"/>
              </w:rPr>
            </w:pPr>
            <w:r>
              <w:rPr>
                <w:rFonts w:hint="eastAsia" w:ascii="黑体" w:hAnsi="黑体" w:eastAsia="黑体" w:cs="黑体"/>
                <w:sz w:val="18"/>
                <w:szCs w:val="21"/>
              </w:rPr>
              <w:t xml:space="preserve">1、分析生产过程中出现的异常的工艺和技术问题，负责及时处理和解决，保证生产工作的正常运行；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黑体" w:hAnsi="黑体" w:eastAsia="黑体" w:cs="黑体"/>
                <w:sz w:val="18"/>
                <w:szCs w:val="21"/>
                <w:vertAlign w:val="baseline"/>
              </w:rPr>
            </w:pPr>
            <w:r>
              <w:rPr>
                <w:rFonts w:hint="eastAsia" w:ascii="黑体" w:hAnsi="黑体" w:eastAsia="黑体" w:cs="黑体"/>
                <w:sz w:val="18"/>
                <w:szCs w:val="21"/>
              </w:rPr>
              <w:t xml:space="preserve">2、产线相关工艺、材料、设备、新产品试验参与、组织、协调，数据收集整理及报告输出； </w:t>
            </w:r>
          </w:p>
        </w:tc>
        <w:tc>
          <w:tcPr>
            <w:tcW w:w="3840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黑体" w:hAnsi="黑体" w:eastAsia="黑体" w:cs="黑体"/>
                <w:sz w:val="18"/>
                <w:szCs w:val="21"/>
                <w:vertAlign w:val="baseli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b/>
          <w:bCs/>
          <w:sz w:val="22"/>
          <w:szCs w:val="28"/>
        </w:rPr>
      </w:pPr>
      <w:r>
        <w:rPr>
          <w:sz w:val="1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-962660</wp:posOffset>
            </wp:positionH>
            <wp:positionV relativeFrom="paragraph">
              <wp:posOffset>7620</wp:posOffset>
            </wp:positionV>
            <wp:extent cx="7216775" cy="4051300"/>
            <wp:effectExtent l="0" t="0" r="6985" b="2540"/>
            <wp:wrapNone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1677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b/>
          <w:bCs/>
          <w:sz w:val="22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b/>
          <w:bCs/>
          <w:sz w:val="22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b/>
          <w:bCs/>
          <w:sz w:val="22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b/>
          <w:bCs/>
          <w:sz w:val="22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b/>
          <w:bCs/>
          <w:sz w:val="22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b/>
          <w:bCs/>
          <w:sz w:val="22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b/>
          <w:bCs/>
          <w:sz w:val="22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b/>
          <w:bCs/>
          <w:sz w:val="22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b/>
          <w:bCs/>
          <w:sz w:val="22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b/>
          <w:bCs/>
          <w:sz w:val="22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b/>
          <w:bCs/>
          <w:sz w:val="22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b/>
          <w:bCs/>
          <w:sz w:val="22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b/>
          <w:bCs/>
          <w:sz w:val="22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b/>
          <w:bCs/>
          <w:sz w:val="22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黑体" w:hAnsi="黑体" w:eastAsia="黑体" w:cs="黑体"/>
          <w:b/>
          <w:bCs/>
          <w:sz w:val="22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b/>
          <w:bCs/>
          <w:sz w:val="22"/>
          <w:szCs w:val="28"/>
        </w:rPr>
      </w:pPr>
      <w:r>
        <w:rPr>
          <w:rFonts w:hint="eastAsia" w:ascii="黑体" w:hAnsi="黑体" w:eastAsia="黑体" w:cs="黑体"/>
          <w:b/>
          <w:bCs/>
          <w:sz w:val="22"/>
          <w:szCs w:val="28"/>
        </w:rPr>
        <w:t>薪资福利待遇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20"/>
          <w:szCs w:val="22"/>
        </w:rPr>
      </w:pPr>
      <w:r>
        <w:rPr>
          <w:rFonts w:hint="eastAsia" w:ascii="黑体" w:hAnsi="黑体" w:eastAsia="黑体" w:cs="黑体"/>
          <w:sz w:val="20"/>
          <w:szCs w:val="22"/>
        </w:rPr>
        <w:t>实习生从报到入职直至取得毕业证书期间为实习期；实习期内没有试用期；薪资</w:t>
      </w:r>
      <w:r>
        <w:rPr>
          <w:rFonts w:hint="eastAsia" w:ascii="黑体" w:hAnsi="黑体" w:eastAsia="黑体" w:cs="黑体"/>
          <w:b/>
          <w:bCs/>
          <w:sz w:val="22"/>
          <w:szCs w:val="28"/>
        </w:rPr>
        <w:t>4300</w:t>
      </w:r>
      <w:r>
        <w:rPr>
          <w:rFonts w:hint="eastAsia" w:ascii="黑体" w:hAnsi="黑体" w:eastAsia="黑体" w:cs="黑体"/>
          <w:sz w:val="20"/>
          <w:szCs w:val="22"/>
        </w:rPr>
        <w:t>元/月；实习期转正后薪资为</w:t>
      </w:r>
      <w:r>
        <w:rPr>
          <w:rFonts w:hint="eastAsia" w:ascii="黑体" w:hAnsi="黑体" w:eastAsia="黑体" w:cs="黑体"/>
          <w:b/>
          <w:bCs/>
          <w:sz w:val="24"/>
          <w:szCs w:val="32"/>
        </w:rPr>
        <w:t xml:space="preserve"> 4720</w:t>
      </w:r>
      <w:r>
        <w:rPr>
          <w:rFonts w:hint="eastAsia" w:ascii="黑体" w:hAnsi="黑体" w:eastAsia="黑体" w:cs="黑体"/>
          <w:sz w:val="20"/>
          <w:szCs w:val="22"/>
        </w:rPr>
        <w:t xml:space="preserve"> 元/月；加班工资和夜班津贴另计，加班费按照2070 元/月计算</w:t>
      </w:r>
      <w:r>
        <w:rPr>
          <w:rFonts w:hint="eastAsia" w:ascii="黑体" w:hAnsi="黑体" w:eastAsia="黑体" w:cs="黑体"/>
          <w:b/>
          <w:bCs/>
          <w:sz w:val="20"/>
          <w:szCs w:val="22"/>
        </w:rPr>
        <w:t>，综合工资6000--7500 元/月； 五险一金（签约正式合同后缴纳）；</w:t>
      </w:r>
      <w:r>
        <w:rPr>
          <w:rFonts w:hint="eastAsia" w:ascii="黑体" w:hAnsi="黑体" w:eastAsia="黑体" w:cs="黑体"/>
          <w:sz w:val="20"/>
          <w:szCs w:val="22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20"/>
          <w:szCs w:val="22"/>
        </w:rPr>
      </w:pPr>
      <w:r>
        <w:rPr>
          <w:rFonts w:hint="eastAsia" w:ascii="黑体" w:hAnsi="黑体" w:eastAsia="黑体" w:cs="黑体"/>
          <w:sz w:val="20"/>
          <w:szCs w:val="22"/>
        </w:rPr>
        <w:t xml:space="preserve">提供餐费补贴； 享受免费住宿，4-6 人间，宿舍内提供独立卫生间、热水器、洗衣机、无线网；享受免费班车(或交通补贴)；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20"/>
          <w:szCs w:val="22"/>
        </w:rPr>
      </w:pPr>
      <w:r>
        <w:rPr>
          <w:sz w:val="21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2098675</wp:posOffset>
            </wp:positionH>
            <wp:positionV relativeFrom="paragraph">
              <wp:posOffset>593090</wp:posOffset>
            </wp:positionV>
            <wp:extent cx="4164965" cy="2450465"/>
            <wp:effectExtent l="0" t="0" r="10795" b="3175"/>
            <wp:wrapNone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rcRect b="6130"/>
                    <a:stretch>
                      <a:fillRect/>
                    </a:stretch>
                  </pic:blipFill>
                  <pic:spPr>
                    <a:xfrm>
                      <a:off x="3480435" y="1990725"/>
                      <a:ext cx="416496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0"/>
          <w:szCs w:val="22"/>
        </w:rPr>
        <w:t xml:space="preserve">享受免费年度体检； 入职满一年享受 5 天带薪年休假； 灵活福利积分制度,福利积分可用于家庭、教育、健康、旅游等项目报销； 丰厚的节日福利:端午节、中秋节、春节、三八节(仅限女士)、夏日防暑、生日联欢 、团建、体验费用、家事关爱等； 公司建有员工活动中心并定期举办丰富多彩的员工活动。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18"/>
          <w:szCs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97790</wp:posOffset>
            </wp:positionH>
            <wp:positionV relativeFrom="paragraph">
              <wp:posOffset>6985</wp:posOffset>
            </wp:positionV>
            <wp:extent cx="3072130" cy="4578350"/>
            <wp:effectExtent l="0" t="0" r="6350" b="8890"/>
            <wp:wrapNone/>
            <wp:docPr id="10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18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18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18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18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18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18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18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18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18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18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18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18"/>
          <w:szCs w:val="21"/>
        </w:rPr>
      </w:pPr>
      <w:r>
        <w:rPr>
          <w:sz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2922905</wp:posOffset>
            </wp:positionH>
            <wp:positionV relativeFrom="paragraph">
              <wp:posOffset>154940</wp:posOffset>
            </wp:positionV>
            <wp:extent cx="4333875" cy="2938145"/>
            <wp:effectExtent l="0" t="0" r="9525" b="3175"/>
            <wp:wrapNone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rcRect l="3377" t="18307" r="5091" b="5684"/>
                    <a:stretch>
                      <a:fillRect/>
                    </a:stretch>
                  </pic:blipFill>
                  <pic:spPr>
                    <a:xfrm>
                      <a:off x="3482340" y="5405755"/>
                      <a:ext cx="433387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18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18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18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18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18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18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18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18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18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18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18"/>
          <w:szCs w:val="21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-1045845</wp:posOffset>
            </wp:positionH>
            <wp:positionV relativeFrom="paragraph">
              <wp:posOffset>137160</wp:posOffset>
            </wp:positionV>
            <wp:extent cx="3054985" cy="2186940"/>
            <wp:effectExtent l="0" t="0" r="8255" b="7620"/>
            <wp:wrapNone/>
            <wp:docPr id="11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18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18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18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18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18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2056765</wp:posOffset>
            </wp:positionH>
            <wp:positionV relativeFrom="paragraph">
              <wp:posOffset>127635</wp:posOffset>
            </wp:positionV>
            <wp:extent cx="4324350" cy="603885"/>
            <wp:effectExtent l="0" t="0" r="3810" b="5715"/>
            <wp:wrapNone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l="7508" r="1363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18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Theme="minorEastAsia"/>
          <w:sz w:val="18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Theme="minorEastAsia"/>
          <w:sz w:val="21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 xml:space="preserve">                               </w:t>
      </w:r>
      <w:r>
        <w:rPr>
          <w:rFonts w:hint="eastAsia" w:ascii="黑体" w:hAnsi="黑体" w:eastAsia="黑体" w:cs="黑体"/>
          <w:b w:val="0"/>
          <w:bCs w:val="0"/>
          <w:sz w:val="24"/>
          <w:szCs w:val="32"/>
          <w:lang w:val="en-US" w:eastAsia="zh-CN"/>
        </w:rPr>
        <w:t>简历投递邮箱：hongdong.lu@qq.com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hint="eastAsia" w:ascii="黑体" w:hAnsi="黑体" w:eastAsia="黑体" w:cs="黑体"/>
        <w:b/>
        <w:bCs/>
        <w:sz w:val="28"/>
        <w:szCs w:val="44"/>
        <w:lang w:val="en-US" w:eastAsia="zh-CN"/>
      </w:rPr>
    </w:pPr>
    <w:r>
      <w:rPr>
        <w:rFonts w:hint="eastAsia" w:ascii="黑体" w:hAnsi="黑体" w:eastAsia="黑体" w:cs="黑体"/>
        <w:b/>
        <w:bCs/>
        <w:sz w:val="28"/>
        <w:szCs w:val="44"/>
        <w:lang w:val="en-US" w:eastAsia="zh-CN"/>
      </w:rPr>
      <w:t>隆基绿能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rFonts w:hint="eastAsia" w:ascii="黑体" w:hAnsi="黑体" w:eastAsia="黑体" w:cs="黑体"/>
        <w:b/>
        <w:bCs/>
        <w:sz w:val="44"/>
        <w:szCs w:val="72"/>
      </w:rPr>
      <w:t>嘉兴隆基乐叶光伏科技有限公司</w:t>
    </w:r>
    <w:r>
      <w:drawing>
        <wp:anchor distT="0" distB="0" distL="0" distR="0" simplePos="0" relativeHeight="251665408" behindDoc="1" locked="0" layoutInCell="1" allowOverlap="1">
          <wp:simplePos x="0" y="0"/>
          <wp:positionH relativeFrom="page">
            <wp:posOffset>654050</wp:posOffset>
          </wp:positionH>
          <wp:positionV relativeFrom="page">
            <wp:posOffset>175260</wp:posOffset>
          </wp:positionV>
          <wp:extent cx="963295" cy="370205"/>
          <wp:effectExtent l="0" t="0" r="12065" b="10795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3295" cy="370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40B08AD"/>
    <w:multiLevelType w:val="singleLevel"/>
    <w:tmpl w:val="640B08AD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3ZmU0ZDA3MThmNjczMjkxOGEzN2YzY2NjOTUwZjEifQ=="/>
  </w:docVars>
  <w:rsids>
    <w:rsidRoot w:val="00000000"/>
    <w:rsid w:val="02163CD7"/>
    <w:rsid w:val="03754CDE"/>
    <w:rsid w:val="2AD30A6A"/>
    <w:rsid w:val="2C027AB3"/>
    <w:rsid w:val="5B396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qFormat/>
    <w:uiPriority w:val="1"/>
    <w:rPr>
      <w:rFonts w:ascii="宋体" w:hAnsi="宋体" w:eastAsia="宋体" w:cs="宋体"/>
      <w:sz w:val="21"/>
      <w:szCs w:val="21"/>
      <w:lang w:val="en-US" w:eastAsia="zh-CN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2023-10-23T01:18:00Z</dcterms:created>
  <dc:creator>00</dc:creator>
  <cp:lastModifiedBy>『monica』</cp:lastModifiedBy>
  <dcterms:modified xsi:type="dcterms:W3CDTF">2023-10-26T00:32:38Z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5C2B97FE22524EC5821C939D1B1CD044_12</vt:lpwstr>
  </property>
</Properties>
</file>